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1E3" w:rsidRDefault="003021E3" w:rsidP="003021E3">
      <w:pPr>
        <w:jc w:val="center"/>
        <w:rPr>
          <w:rFonts w:ascii="Arial" w:hAnsi="Arial" w:cs="Arial"/>
          <w:color w:val="000000"/>
          <w:szCs w:val="16"/>
          <w:u w:val="single"/>
        </w:rPr>
      </w:pPr>
      <w:r>
        <w:rPr>
          <w:rFonts w:ascii="Arial" w:hAnsi="Arial" w:cs="Arial"/>
          <w:color w:val="000000"/>
          <w:szCs w:val="16"/>
          <w:u w:val="single"/>
        </w:rPr>
        <w:t>Výzva k účasti v poptávkovém řízení</w:t>
      </w:r>
    </w:p>
    <w:p w:rsidR="003021E3" w:rsidRDefault="003021E3" w:rsidP="003021E3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3021E3" w:rsidRDefault="003021E3" w:rsidP="003021E3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3021E3" w:rsidRDefault="003021E3" w:rsidP="003021E3">
      <w:pPr>
        <w:rPr>
          <w:rFonts w:ascii="Arial" w:hAnsi="Arial" w:cs="Arial"/>
          <w:color w:val="000000"/>
          <w:sz w:val="16"/>
          <w:szCs w:val="16"/>
        </w:rPr>
      </w:pPr>
    </w:p>
    <w:p w:rsidR="003021E3" w:rsidRDefault="003021E3" w:rsidP="003021E3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Dovolujeme si Vás pozvat k účasti v poptávkovém řízení, které se uskuteční elektronickou formou.</w:t>
      </w:r>
    </w:p>
    <w:p w:rsidR="003021E3" w:rsidRDefault="003021E3" w:rsidP="003021E3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Předmět VŘ a termín dodání je uveden v systému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Connect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3021E3" w:rsidRDefault="003021E3" w:rsidP="003021E3">
      <w:pPr>
        <w:pStyle w:val="Nadpis2"/>
        <w:numPr>
          <w:ilvl w:val="0"/>
          <w:numId w:val="0"/>
        </w:numPr>
        <w:tabs>
          <w:tab w:val="left" w:pos="708"/>
        </w:tabs>
        <w:spacing w:after="120"/>
        <w:jc w:val="both"/>
        <w:rPr>
          <w:rFonts w:ascii="Arial" w:hAnsi="Arial" w:cs="Arial"/>
          <w:bCs/>
          <w:color w:val="FF0000"/>
          <w:sz w:val="20"/>
        </w:rPr>
      </w:pPr>
      <w:r>
        <w:rPr>
          <w:rFonts w:ascii="Arial" w:hAnsi="Arial" w:cs="Arial"/>
          <w:b w:val="0"/>
          <w:bCs/>
          <w:color w:val="FF0000"/>
          <w:sz w:val="20"/>
        </w:rPr>
        <w:t>Technickou nabídku vložte pod položku: „</w:t>
      </w:r>
      <w:r>
        <w:rPr>
          <w:rFonts w:ascii="Arial" w:hAnsi="Arial" w:cs="Arial"/>
          <w:color w:val="FF0000"/>
          <w:sz w:val="18"/>
          <w:szCs w:val="18"/>
        </w:rPr>
        <w:t>prosím, vložte pouze technickou nabídku, a zvolte ano</w:t>
      </w:r>
      <w:r>
        <w:rPr>
          <w:rFonts w:ascii="Arial" w:hAnsi="Arial" w:cs="Arial"/>
          <w:vanish/>
          <w:color w:val="555555"/>
          <w:sz w:val="18"/>
          <w:szCs w:val="1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in;height:18pt" o:ole="">
            <v:imagedata r:id="rId5" o:title=""/>
          </v:shape>
          <w:control r:id="rId6" w:name="DefaultOcxName" w:shapeid="_x0000_i1027"/>
        </w:object>
      </w:r>
      <w:r>
        <w:rPr>
          <w:rFonts w:ascii="Arial" w:hAnsi="Arial" w:cs="Arial"/>
          <w:b w:val="0"/>
          <w:bCs/>
          <w:color w:val="FF0000"/>
          <w:sz w:val="20"/>
        </w:rPr>
        <w:t>“</w:t>
      </w:r>
    </w:p>
    <w:p w:rsidR="003021E3" w:rsidRDefault="003021E3" w:rsidP="003021E3">
      <w:pPr>
        <w:pStyle w:val="Nadpis2"/>
        <w:numPr>
          <w:ilvl w:val="0"/>
          <w:numId w:val="0"/>
        </w:numPr>
        <w:tabs>
          <w:tab w:val="left" w:pos="708"/>
        </w:tabs>
        <w:spacing w:after="120"/>
        <w:jc w:val="both"/>
        <w:rPr>
          <w:rFonts w:ascii="Arial" w:hAnsi="Arial" w:cs="Arial"/>
          <w:b w:val="0"/>
          <w:bCs/>
          <w:color w:val="FF0000"/>
          <w:sz w:val="20"/>
        </w:rPr>
      </w:pPr>
      <w:r>
        <w:rPr>
          <w:rFonts w:ascii="Arial" w:hAnsi="Arial" w:cs="Arial"/>
          <w:b w:val="0"/>
          <w:bCs/>
          <w:color w:val="FF0000"/>
          <w:sz w:val="20"/>
        </w:rPr>
        <w:t>Cenovou nabídku vložte pod položku:  „Cena“</w:t>
      </w:r>
    </w:p>
    <w:p w:rsidR="003021E3" w:rsidRDefault="003021E3" w:rsidP="003021E3"/>
    <w:p w:rsidR="003021E3" w:rsidRDefault="003021E3" w:rsidP="003021E3">
      <w:pPr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Zadávací podmínky</w:t>
      </w:r>
    </w:p>
    <w:p w:rsidR="003021E3" w:rsidRDefault="003021E3" w:rsidP="003021E3">
      <w:pPr>
        <w:numPr>
          <w:ilvl w:val="0"/>
          <w:numId w:val="2"/>
        </w:numPr>
        <w:spacing w:before="120" w:after="120"/>
        <w:ind w:left="714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  <w:r>
        <w:rPr>
          <w:rFonts w:ascii="Arial" w:hAnsi="Arial" w:cs="Arial"/>
          <w:color w:val="000000"/>
          <w:sz w:val="20"/>
          <w:szCs w:val="20"/>
        </w:rPr>
        <w:t>: v CZK popř. EUR za ks bez DPH</w:t>
      </w:r>
    </w:p>
    <w:p w:rsidR="003021E3" w:rsidRDefault="003021E3" w:rsidP="003021E3">
      <w:pPr>
        <w:numPr>
          <w:ilvl w:val="1"/>
          <w:numId w:val="2"/>
        </w:numPr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Cena je uchazečem stanovena jako konečná a závazná pro uzavření kupní smlouvy dle jím zpracované a v systému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Connect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vysoutěžené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nabídky. </w:t>
      </w:r>
    </w:p>
    <w:p w:rsidR="003021E3" w:rsidRDefault="003021E3" w:rsidP="003021E3">
      <w:pPr>
        <w:numPr>
          <w:ilvl w:val="1"/>
          <w:numId w:val="2"/>
        </w:numPr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Uchazeč ručí za úplnost své cenové nabídky a ceny jím zadané jsou garantovány do doby realizace objednávky.</w:t>
      </w:r>
    </w:p>
    <w:p w:rsidR="003021E3" w:rsidRDefault="003021E3" w:rsidP="003021E3">
      <w:pPr>
        <w:numPr>
          <w:ilvl w:val="0"/>
          <w:numId w:val="2"/>
        </w:numPr>
        <w:spacing w:before="120" w:after="120"/>
        <w:ind w:left="714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Platební podmínky</w:t>
      </w:r>
      <w:r>
        <w:rPr>
          <w:rFonts w:ascii="Arial" w:hAnsi="Arial" w:cs="Arial"/>
          <w:color w:val="000000"/>
          <w:sz w:val="20"/>
          <w:szCs w:val="20"/>
        </w:rPr>
        <w:t>: splatnost faktury 60 dnů – pokud není předjednáno jinak</w:t>
      </w:r>
    </w:p>
    <w:p w:rsidR="003021E3" w:rsidRDefault="003021E3" w:rsidP="003021E3">
      <w:pPr>
        <w:numPr>
          <w:ilvl w:val="0"/>
          <w:numId w:val="2"/>
        </w:numPr>
        <w:spacing w:before="120" w:after="120"/>
        <w:ind w:left="714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Dodací podmínky</w:t>
      </w:r>
      <w:r>
        <w:rPr>
          <w:rFonts w:ascii="Arial" w:hAnsi="Arial" w:cs="Arial"/>
          <w:color w:val="000000"/>
          <w:sz w:val="20"/>
          <w:szCs w:val="20"/>
        </w:rPr>
        <w:t xml:space="preserve">: DAP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Orlen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Unipetrol RPA s.r.o.  </w:t>
      </w:r>
      <w:r>
        <w:rPr>
          <w:rFonts w:ascii="Arial" w:hAnsi="Arial" w:cs="Arial"/>
          <w:b/>
          <w:color w:val="000000"/>
          <w:sz w:val="20"/>
          <w:szCs w:val="20"/>
        </w:rPr>
        <w:t>( dopravné v 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ceně )</w:t>
      </w:r>
      <w:proofErr w:type="gramEnd"/>
    </w:p>
    <w:p w:rsidR="003021E3" w:rsidRDefault="003021E3" w:rsidP="003021E3">
      <w:pPr>
        <w:spacing w:before="120" w:after="120"/>
        <w:ind w:left="71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Pro přepravu zboží nepoužívejte Českou poštu.</w:t>
      </w:r>
    </w:p>
    <w:p w:rsidR="003021E3" w:rsidRDefault="003021E3" w:rsidP="003021E3">
      <w:pPr>
        <w:numPr>
          <w:ilvl w:val="0"/>
          <w:numId w:val="2"/>
        </w:numPr>
        <w:spacing w:before="120" w:after="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Termín dodání</w:t>
      </w:r>
      <w:r>
        <w:rPr>
          <w:rFonts w:ascii="Arial" w:hAnsi="Arial" w:cs="Arial"/>
          <w:color w:val="000000"/>
          <w:sz w:val="20"/>
          <w:szCs w:val="20"/>
        </w:rPr>
        <w:t>- realizace:  2025</w:t>
      </w:r>
    </w:p>
    <w:p w:rsidR="003021E3" w:rsidRDefault="003021E3" w:rsidP="003021E3">
      <w:pPr>
        <w:numPr>
          <w:ilvl w:val="0"/>
          <w:numId w:val="2"/>
        </w:numPr>
        <w:spacing w:before="120" w:after="120"/>
        <w:ind w:left="714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Ostatní podmínky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3021E3" w:rsidRDefault="003021E3" w:rsidP="003021E3">
      <w:pPr>
        <w:numPr>
          <w:ilvl w:val="1"/>
          <w:numId w:val="2"/>
        </w:numPr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Vyžadujeme uvedení přesné technické nabídky, kterou prosím vložte formou přílohy k položce v systému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Connect</w:t>
      </w:r>
      <w:proofErr w:type="spellEnd"/>
    </w:p>
    <w:p w:rsidR="003021E3" w:rsidRDefault="003021E3" w:rsidP="003021E3">
      <w:pPr>
        <w:numPr>
          <w:ilvl w:val="1"/>
          <w:numId w:val="2"/>
        </w:numPr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POŽADUJEME VKLÁDÁNÍ POUZE KOMPLETNÍ NABÍDKY NA VŠECHNY POPTÁVANÉ </w:t>
      </w:r>
      <w:proofErr w:type="gramStart"/>
      <w:r>
        <w:rPr>
          <w:rFonts w:ascii="Arial" w:hAnsi="Arial" w:cs="Arial"/>
          <w:color w:val="FF0000"/>
          <w:sz w:val="20"/>
          <w:szCs w:val="20"/>
        </w:rPr>
        <w:t>POLOŽKY</w:t>
      </w:r>
      <w:r>
        <w:rPr>
          <w:rFonts w:ascii="Arial" w:hAnsi="Arial" w:cs="Arial"/>
          <w:color w:val="000000"/>
          <w:sz w:val="20"/>
          <w:szCs w:val="20"/>
        </w:rPr>
        <w:t xml:space="preserve"> .</w:t>
      </w:r>
      <w:proofErr w:type="gramEnd"/>
    </w:p>
    <w:p w:rsidR="003021E3" w:rsidRDefault="003021E3" w:rsidP="003021E3">
      <w:pPr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:rsidR="003021E3" w:rsidRDefault="003021E3" w:rsidP="003021E3">
      <w:pPr>
        <w:spacing w:before="120" w:after="12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Náležitosti nabídky:</w:t>
      </w:r>
    </w:p>
    <w:p w:rsidR="003021E3" w:rsidRDefault="003021E3" w:rsidP="003021E3">
      <w:pPr>
        <w:numPr>
          <w:ilvl w:val="1"/>
          <w:numId w:val="2"/>
        </w:numPr>
        <w:spacing w:before="120" w:after="12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nabídku předložte pouze v českém nebo anglickém jazyce</w:t>
      </w:r>
    </w:p>
    <w:p w:rsidR="003021E3" w:rsidRDefault="003021E3" w:rsidP="003021E3">
      <w:pPr>
        <w:numPr>
          <w:ilvl w:val="1"/>
          <w:numId w:val="2"/>
        </w:numPr>
        <w:spacing w:before="120" w:after="12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vyplněné Prohlášení o skutečném vlastníkovi-vložte do svého profilu v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Connect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záložka DOKUMENTY – pokud jste tak již neučinili</w:t>
      </w:r>
    </w:p>
    <w:p w:rsidR="003021E3" w:rsidRDefault="003021E3" w:rsidP="003021E3">
      <w:pPr>
        <w:numPr>
          <w:ilvl w:val="0"/>
          <w:numId w:val="3"/>
        </w:numPr>
        <w:spacing w:before="120" w:after="120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Kompletní technická část</w:t>
      </w:r>
    </w:p>
    <w:p w:rsidR="003021E3" w:rsidRDefault="003021E3" w:rsidP="003021E3">
      <w:pPr>
        <w:numPr>
          <w:ilvl w:val="1"/>
          <w:numId w:val="2"/>
        </w:numPr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detailní popis výrobku, včetně materiálů a zkoušek, nabízená dokumentace, prohlášení, že se jedná a nové náhradní díly,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v případě, že nabízené zboží nebude plně odpovídat zadané specifikaci, je nutno tuto skutečnost označit viditelně s tím, že rozdíly oproti specifikaci budou rozepsány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FF0000"/>
          <w:sz w:val="20"/>
          <w:szCs w:val="20"/>
        </w:rPr>
        <w:t>termín dodání</w:t>
      </w:r>
      <w:r>
        <w:rPr>
          <w:rFonts w:ascii="Arial" w:hAnsi="Arial" w:cs="Arial"/>
          <w:color w:val="000000"/>
          <w:sz w:val="20"/>
          <w:szCs w:val="20"/>
        </w:rPr>
        <w:t xml:space="preserve"> případně harmonogram výroby, garance, katalogový list, </w:t>
      </w:r>
      <w:r>
        <w:rPr>
          <w:rFonts w:ascii="Arial" w:hAnsi="Arial" w:cs="Arial"/>
          <w:color w:val="FF0000"/>
          <w:sz w:val="20"/>
          <w:szCs w:val="20"/>
        </w:rPr>
        <w:t>uveďte výrobce</w:t>
      </w:r>
    </w:p>
    <w:p w:rsidR="003021E3" w:rsidRDefault="003021E3" w:rsidP="003021E3">
      <w:pPr>
        <w:numPr>
          <w:ilvl w:val="0"/>
          <w:numId w:val="3"/>
        </w:numPr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Obchodní část</w:t>
      </w:r>
    </w:p>
    <w:p w:rsidR="003021E3" w:rsidRDefault="003021E3" w:rsidP="003021E3">
      <w:pPr>
        <w:numPr>
          <w:ilvl w:val="0"/>
          <w:numId w:val="4"/>
        </w:numPr>
        <w:spacing w:before="120"/>
        <w:ind w:left="1134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ceny, splatnost FA, potvrzení dodací parity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Incoterms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2020), platnost nabídky. Do nabídky uveďte, zda jste schopni námi požadovaný termín opravy.</w:t>
      </w:r>
    </w:p>
    <w:p w:rsidR="003021E3" w:rsidRDefault="003021E3" w:rsidP="003021E3">
      <w:pPr>
        <w:spacing w:before="12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:rsidR="003021E3" w:rsidRDefault="003021E3" w:rsidP="003021E3">
      <w:pPr>
        <w:spacing w:before="12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3021E3" w:rsidRDefault="003021E3" w:rsidP="003021E3">
      <w:pPr>
        <w:spacing w:after="12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Prohlášení:</w:t>
      </w:r>
    </w:p>
    <w:p w:rsidR="003021E3" w:rsidRDefault="003021E3" w:rsidP="003021E3">
      <w:pPr>
        <w:numPr>
          <w:ilvl w:val="0"/>
          <w:numId w:val="4"/>
        </w:numPr>
        <w:spacing w:before="12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Vyhlašovatel provede výběr nejvhodnější nabídky a jejího dodavatele o této skutečnosti vyrozumí. Tím se vybraná nabídka stává podkladem k objednávce, resp. smlouvě. Pokud se jedná o e-aukci tzv. vícepoložkovou, vyhlašovatel má právo provést výběr i po jednotlivých položkách e-aukce a vybraná nabídka se tímto stává rovněž vyjednanou objednávkou. Vyhlašovatel si tak touto cestou může vybrat více než jednoho dodavatele.</w:t>
      </w:r>
    </w:p>
    <w:p w:rsidR="003021E3" w:rsidRDefault="003021E3" w:rsidP="003021E3">
      <w:pPr>
        <w:numPr>
          <w:ilvl w:val="0"/>
          <w:numId w:val="4"/>
        </w:numPr>
        <w:spacing w:before="12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Vyhlašovatel si vyhrazuje právo odmítnout všechny předložené nabídky, poptávku zrušit nebo vyhlásit další kolo. Vyhlašovatel je povinen všem účastníkům případné změny neprodleně oznámit.</w:t>
      </w:r>
    </w:p>
    <w:p w:rsidR="003021E3" w:rsidRDefault="003021E3" w:rsidP="003021E3">
      <w:pPr>
        <w:numPr>
          <w:ilvl w:val="0"/>
          <w:numId w:val="4"/>
        </w:numPr>
        <w:spacing w:before="12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Nabídky mohou být konfrontovány s porovnávací cenou vycházející z vnitřních kalkulací vyhlašovatele. Tato porovnávací nabídka je stanovena před zahájením soutěže a je v jejím průběhu neměnná.</w:t>
      </w:r>
    </w:p>
    <w:p w:rsidR="003021E3" w:rsidRDefault="003021E3" w:rsidP="003021E3">
      <w:pPr>
        <w:numPr>
          <w:ilvl w:val="0"/>
          <w:numId w:val="4"/>
        </w:numPr>
        <w:spacing w:before="12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Tato poptávka nepodléhá a neřídí se zákonem č. 134/2016 Sb. (o zadávání veřejných zakázek, v platném znění) a dále se nejedná o veřejnou soutěž o nejvhodnější nabídku dle ustanovení § </w:t>
      </w:r>
      <w:smartTag w:uri="urn:schemas-microsoft-com:office:smarttags" w:element="metricconverter">
        <w:smartTagPr>
          <w:attr w:name="ProductID" w:val="1772 a"/>
        </w:smartTagPr>
        <w:r>
          <w:rPr>
            <w:rFonts w:ascii="Arial" w:hAnsi="Arial" w:cs="Arial"/>
            <w:color w:val="000000"/>
            <w:sz w:val="20"/>
            <w:szCs w:val="20"/>
          </w:rPr>
          <w:t>1772 a</w:t>
        </w:r>
      </w:smartTag>
      <w:r>
        <w:rPr>
          <w:rFonts w:ascii="Arial" w:hAnsi="Arial" w:cs="Arial"/>
          <w:color w:val="000000"/>
          <w:sz w:val="20"/>
          <w:szCs w:val="20"/>
        </w:rPr>
        <w:t xml:space="preserve"> násl. zákona č. 89/2012, občanského zákoníku, ve znění pozdějších předpisů. </w:t>
      </w:r>
    </w:p>
    <w:p w:rsidR="003021E3" w:rsidRDefault="003021E3" w:rsidP="003021E3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3021E3" w:rsidRDefault="003021E3" w:rsidP="003021E3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Předložením nabídky akceptuje dodavatel Všeobecné obchodní nabídky vyhlašovatele, které jsou zveřejněny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na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021E3" w:rsidRDefault="003021E3" w:rsidP="003021E3">
      <w:pPr>
        <w:spacing w:before="120"/>
        <w:jc w:val="both"/>
        <w:rPr>
          <w:rFonts w:ascii="Arial" w:eastAsia="Calibri" w:hAnsi="Arial" w:cs="Arial"/>
          <w:sz w:val="20"/>
          <w:szCs w:val="20"/>
        </w:rPr>
      </w:pPr>
      <w:hyperlink r:id="rId7" w:history="1">
        <w:r>
          <w:rPr>
            <w:rStyle w:val="Hypertextovodkaz"/>
            <w:rFonts w:ascii="Arial" w:eastAsia="Calibri" w:hAnsi="Arial" w:cs="Arial"/>
            <w:sz w:val="20"/>
          </w:rPr>
          <w:t>http://www.unipetrolrpa.cz/cs/stranky/dodavatele.aspx</w:t>
        </w:r>
      </w:hyperlink>
    </w:p>
    <w:p w:rsidR="003021E3" w:rsidRDefault="003021E3" w:rsidP="003021E3">
      <w:pPr>
        <w:rPr>
          <w:rFonts w:ascii="Arial" w:hAnsi="Arial" w:cs="Arial"/>
          <w:color w:val="000000"/>
          <w:sz w:val="16"/>
          <w:szCs w:val="16"/>
        </w:rPr>
      </w:pPr>
    </w:p>
    <w:p w:rsidR="00C73C62" w:rsidRDefault="00C73C62"/>
    <w:sectPr w:rsidR="00C73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mataLightCondense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C7A"/>
    <w:multiLevelType w:val="hybridMultilevel"/>
    <w:tmpl w:val="9B9E91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66A773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7782"/>
    <w:multiLevelType w:val="hybridMultilevel"/>
    <w:tmpl w:val="5CCA1E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A55E4"/>
    <w:multiLevelType w:val="hybridMultilevel"/>
    <w:tmpl w:val="12F23162"/>
    <w:lvl w:ilvl="0" w:tplc="566A77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859B8"/>
    <w:multiLevelType w:val="multilevel"/>
    <w:tmpl w:val="99FA934C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E3"/>
    <w:rsid w:val="003021E3"/>
    <w:rsid w:val="00C7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38852-D802-402A-B7D6-6CDF34ED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2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V_Head1,h1,l1,Heading 1R,Kapitola,Záhlaví 1,H1,TOC 11,Nadpis dokumentu,ASAPHeading 1,Jméno organizace,kapitola,fjb1,1,Neutrál 2,V_Head11,Záhlaví 11,V_Head12,Záhlaví 12,Kapitola1,V_Head111,Záhlaví 111,h11,V_Head13,Záhlaví 13,Kapitola2,V_Head112"/>
    <w:basedOn w:val="Normln"/>
    <w:next w:val="Normln"/>
    <w:link w:val="Nadpis1Char"/>
    <w:qFormat/>
    <w:rsid w:val="003021E3"/>
    <w:pPr>
      <w:numPr>
        <w:numId w:val="1"/>
      </w:numPr>
      <w:tabs>
        <w:tab w:val="left" w:pos="432"/>
      </w:tabs>
      <w:overflowPunct w:val="0"/>
      <w:autoSpaceDE w:val="0"/>
      <w:autoSpaceDN w:val="0"/>
      <w:adjustRightInd w:val="0"/>
      <w:outlineLvl w:val="0"/>
    </w:pPr>
    <w:rPr>
      <w:rFonts w:ascii="FormataLightCondensed" w:hAnsi="FormataLightCondensed"/>
      <w:b/>
      <w:sz w:val="26"/>
      <w:szCs w:val="20"/>
    </w:rPr>
  </w:style>
  <w:style w:type="paragraph" w:styleId="Nadpis2">
    <w:name w:val="heading 2"/>
    <w:aliases w:val="V_Head2,V_Head21,V_Head22,h2,l2,Courseware #,Podkapitola1,hlavicka,Nadpis kapitoly,H2,Head2A,2,PA Major Section,ASAPHeading 2,list2,head2,G2,F2,2m,hlavní odstavec,Nadpis 21,Sub-Head1,F21,sub-sect,21,sub-sect1,22,sub-sect2,211,sub-sect11,X.X"/>
    <w:basedOn w:val="Normln"/>
    <w:next w:val="Normln"/>
    <w:link w:val="Nadpis2Char"/>
    <w:semiHidden/>
    <w:unhideWhenUsed/>
    <w:qFormat/>
    <w:rsid w:val="003021E3"/>
    <w:pPr>
      <w:numPr>
        <w:ilvl w:val="1"/>
        <w:numId w:val="1"/>
      </w:numPr>
      <w:tabs>
        <w:tab w:val="left" w:pos="360"/>
        <w:tab w:val="left" w:pos="1080"/>
      </w:tabs>
      <w:overflowPunct w:val="0"/>
      <w:autoSpaceDE w:val="0"/>
      <w:autoSpaceDN w:val="0"/>
      <w:adjustRightInd w:val="0"/>
      <w:outlineLvl w:val="1"/>
    </w:pPr>
    <w:rPr>
      <w:rFonts w:ascii="FormataLightCondensed" w:hAnsi="FormataLightCondensed"/>
      <w:b/>
      <w:szCs w:val="2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021E3"/>
    <w:pPr>
      <w:keepNext/>
      <w:numPr>
        <w:ilvl w:val="2"/>
        <w:numId w:val="1"/>
      </w:numPr>
      <w:tabs>
        <w:tab w:val="left" w:pos="720"/>
      </w:tabs>
      <w:overflowPunct w:val="0"/>
      <w:autoSpaceDE w:val="0"/>
      <w:autoSpaceDN w:val="0"/>
      <w:adjustRightInd w:val="0"/>
      <w:spacing w:before="240" w:after="60"/>
      <w:outlineLvl w:val="2"/>
    </w:pPr>
    <w:rPr>
      <w:rFonts w:ascii="FormataLightCondensed" w:hAnsi="FormataLightCondensed"/>
      <w:b/>
      <w:szCs w:val="20"/>
    </w:rPr>
  </w:style>
  <w:style w:type="paragraph" w:styleId="Nadpis4">
    <w:name w:val="heading 4"/>
    <w:aliases w:val="h4,l4,V_Head4,H4,Podkapitola3,Aufgabe,dash,PA Micro Section,ASAPHeading 4,Map Title,tabu,Heading 4(war),X.X.X.X,4 dash,d,3,4,Nadpis_4_úroveň,L1 Heading 4,Prj4,BP Heading 4,Subhead C,GPH Heading 4,(Alt+4),Gliederung 4,h41,a.,4 dash1,d1,31,a.1"/>
    <w:basedOn w:val="Normln"/>
    <w:next w:val="Normln"/>
    <w:link w:val="Nadpis4Char"/>
    <w:semiHidden/>
    <w:unhideWhenUsed/>
    <w:qFormat/>
    <w:rsid w:val="003021E3"/>
    <w:pPr>
      <w:keepNext/>
      <w:numPr>
        <w:ilvl w:val="3"/>
        <w:numId w:val="1"/>
      </w:numPr>
      <w:tabs>
        <w:tab w:val="left" w:pos="864"/>
      </w:tabs>
      <w:overflowPunct w:val="0"/>
      <w:autoSpaceDE w:val="0"/>
      <w:autoSpaceDN w:val="0"/>
      <w:adjustRightInd w:val="0"/>
      <w:outlineLvl w:val="3"/>
    </w:pPr>
    <w:rPr>
      <w:rFonts w:ascii="FormataLightCondensed" w:hAnsi="FormataLightCondensed"/>
      <w:b/>
      <w:szCs w:val="2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3021E3"/>
    <w:pPr>
      <w:numPr>
        <w:ilvl w:val="4"/>
        <w:numId w:val="1"/>
      </w:numPr>
      <w:tabs>
        <w:tab w:val="left" w:pos="1008"/>
      </w:tabs>
      <w:overflowPunct w:val="0"/>
      <w:autoSpaceDE w:val="0"/>
      <w:autoSpaceDN w:val="0"/>
      <w:adjustRightInd w:val="0"/>
      <w:spacing w:before="240" w:after="60"/>
      <w:outlineLvl w:val="4"/>
    </w:pPr>
    <w:rPr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021E3"/>
    <w:pPr>
      <w:numPr>
        <w:ilvl w:val="5"/>
        <w:numId w:val="1"/>
      </w:numPr>
      <w:tabs>
        <w:tab w:val="left" w:pos="1152"/>
      </w:tabs>
      <w:overflowPunct w:val="0"/>
      <w:autoSpaceDE w:val="0"/>
      <w:autoSpaceDN w:val="0"/>
      <w:adjustRightInd w:val="0"/>
      <w:spacing w:before="240" w:after="60"/>
      <w:outlineLvl w:val="5"/>
    </w:pPr>
    <w:rPr>
      <w:b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3021E3"/>
    <w:pPr>
      <w:numPr>
        <w:ilvl w:val="6"/>
        <w:numId w:val="1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3021E3"/>
    <w:pPr>
      <w:numPr>
        <w:ilvl w:val="7"/>
        <w:numId w:val="1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3021E3"/>
    <w:pPr>
      <w:numPr>
        <w:ilvl w:val="8"/>
        <w:numId w:val="1"/>
      </w:numPr>
      <w:tabs>
        <w:tab w:val="left" w:pos="1584"/>
      </w:tabs>
      <w:overflowPunct w:val="0"/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21E3"/>
    <w:rPr>
      <w:rFonts w:ascii="FormataLightCondensed" w:eastAsia="Times New Roman" w:hAnsi="FormataLightCondensed" w:cs="Times New Roman"/>
      <w:b/>
      <w:sz w:val="26"/>
      <w:szCs w:val="20"/>
      <w:lang w:eastAsia="cs-CZ"/>
    </w:rPr>
  </w:style>
  <w:style w:type="character" w:customStyle="1" w:styleId="Nadpis2Char">
    <w:name w:val="Nadpis 2 Char"/>
    <w:aliases w:val="V_Head2 Char,V_Head21 Char,V_Head22 Char,h2 Char,l2 Char,Courseware # Char,Podkapitola1 Char,hlavicka Char,Nadpis kapitoly Char,H2 Char,Head2A Char,2 Char,PA Major Section Char,ASAPHeading 2 Char,list2 Char,head2 Char,G2 Char,F2 Char"/>
    <w:basedOn w:val="Standardnpsmoodstavce"/>
    <w:link w:val="Nadpis2"/>
    <w:semiHidden/>
    <w:rsid w:val="003021E3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3021E3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3021E3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3021E3"/>
    <w:rPr>
      <w:rFonts w:ascii="Times New Roman" w:eastAsia="Times New Roman" w:hAnsi="Times New Roman" w:cs="Times New Roman"/>
      <w:b/>
      <w:i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3021E3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3021E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3021E3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3021E3"/>
    <w:rPr>
      <w:rFonts w:ascii="Arial" w:eastAsia="Times New Roman" w:hAnsi="Arial" w:cs="Times New Roman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3021E3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021E3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nipetrolrpa.cz/cs/stranky/dodavatele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Srbecká Jana (UNP-RPA)</dc:creator>
  <cp:keywords/>
  <dc:description/>
  <cp:lastModifiedBy>Srbecká Jana (UNP-RPA)</cp:lastModifiedBy>
  <cp:revision>1</cp:revision>
  <dcterms:created xsi:type="dcterms:W3CDTF">2024-10-24T06:49:00Z</dcterms:created>
  <dcterms:modified xsi:type="dcterms:W3CDTF">2024-10-24T06:49:00Z</dcterms:modified>
</cp:coreProperties>
</file>